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sz w:val="32"/>
          <w:szCs w:val="32"/>
        </w:rPr>
      </w:pPr>
      <w:bookmarkStart w:id="1" w:name="_GoBack"/>
      <w:r>
        <w:rPr>
          <w:rFonts w:hint="eastAsia" w:ascii="黑体" w:hAnsi="黑体" w:eastAsia="黑体"/>
          <w:sz w:val="32"/>
          <w:szCs w:val="32"/>
        </w:rPr>
        <w:t>聚焦“常规风评”  提升风险应对能力培训班</w:t>
      </w:r>
    </w:p>
    <w:bookmarkEnd w:id="1"/>
    <w:p>
      <w:pPr>
        <w:snapToGrid w:val="0"/>
        <w:spacing w:after="156" w:afterLines="50" w:line="360" w:lineRule="auto"/>
        <w:jc w:val="center"/>
        <w:rPr>
          <w:rFonts w:hint="eastAsia" w:ascii="黑体" w:hAnsi="黑体" w:eastAsia="黑体" w:cs="仿宋"/>
          <w:sz w:val="32"/>
          <w:szCs w:val="32"/>
        </w:rPr>
      </w:pPr>
      <w:r>
        <w:rPr>
          <w:rFonts w:hint="eastAsia" w:ascii="黑体" w:hAnsi="黑体" w:eastAsia="黑体"/>
          <w:sz w:val="32"/>
          <w:szCs w:val="32"/>
        </w:rPr>
        <w:t>项目</w:t>
      </w:r>
      <w:r>
        <w:rPr>
          <w:rFonts w:hint="eastAsia" w:ascii="黑体" w:hAnsi="黑体" w:eastAsia="黑体" w:cs="仿宋"/>
          <w:sz w:val="32"/>
          <w:szCs w:val="32"/>
        </w:rPr>
        <w:t>计划书</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2024年数风条线率先数字化转型，实施“常规风评”，税收风险应对工作面临全新的挑战。本项目能够助力税务干部抓牢改革之机，跟紧改革步伐，提升业务能力。</w:t>
      </w:r>
    </w:p>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一、培训对象</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从事税收风险管理、税务稽查工作的税务干部</w:t>
      </w:r>
    </w:p>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二、培训目标</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通过培训，使税务干部明确“常规风评”工作部署和要求，掌握全税种联动风险分析技能，强化研发费用加计扣除、供应链、农产品相关行业、出口应征税风险及退税等重点事项的税收风险分析，从而提升精准监管能力。</w:t>
      </w:r>
    </w:p>
    <w:p>
      <w:pPr>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三、项目特色</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项目与课程设计凸显“新”。“常规风评”是2024年数风条线率先数字化转型的改革举措。在指标模型构建和风险扫描、风险应对策略、核查结果复核等方面均有重大调整，需要风险应对人员即时更新理念、提高认识和提升能力。“常规风评”工作部署与实施，供应链、研发费用、出口应征税等重点领域及事项的风险应对课程正是围绕这一目标精心设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2.课程内容与教学方法凸显“实”。</w:t>
      </w:r>
      <w:bookmarkStart w:id="0" w:name="_Hlk181015309"/>
      <w:r>
        <w:rPr>
          <w:rFonts w:hint="eastAsia" w:ascii="仿宋" w:hAnsi="仿宋" w:eastAsia="仿宋" w:cs="仿宋"/>
          <w:sz w:val="28"/>
          <w:szCs w:val="28"/>
        </w:rPr>
        <w:t>其中，“全税种联动风险分析实战化演练”课程立足当下风险应对人员急需掌握知识和技能，采取案例研讨式教学，通过对纳税申报数据的学员研讨和教师讲授，将涉及的税费种政策、指标模型、会计处理等知识进行融会贯通，能够切实提升税务干部风险应对能力。</w:t>
      </w:r>
    </w:p>
    <w:bookmarkEnd w:id="0"/>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四、培训时间</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在校培训时间共8天，其中课程环节6天，非课程环节</w:t>
      </w:r>
      <w:r>
        <w:rPr>
          <w:rFonts w:ascii="仿宋" w:hAnsi="仿宋" w:eastAsia="仿宋" w:cs="仿宋"/>
          <w:sz w:val="28"/>
          <w:szCs w:val="28"/>
        </w:rPr>
        <w:t>2</w:t>
      </w:r>
      <w:r>
        <w:rPr>
          <w:rFonts w:hint="eastAsia" w:ascii="仿宋" w:hAnsi="仿宋" w:eastAsia="仿宋" w:cs="仿宋"/>
          <w:sz w:val="28"/>
          <w:szCs w:val="28"/>
        </w:rPr>
        <w:t>天。</w:t>
      </w:r>
    </w:p>
    <w:p>
      <w:pPr>
        <w:snapToGrid w:val="0"/>
        <w:spacing w:line="360" w:lineRule="auto"/>
        <w:ind w:firstLine="562" w:firstLineChars="200"/>
        <w:jc w:val="left"/>
        <w:rPr>
          <w:rFonts w:hint="eastAsia" w:ascii="仿宋" w:hAnsi="仿宋" w:eastAsia="仿宋" w:cs="仿宋"/>
          <w:sz w:val="28"/>
          <w:szCs w:val="28"/>
        </w:rPr>
      </w:pPr>
      <w:r>
        <w:rPr>
          <w:rFonts w:hint="eastAsia" w:ascii="仿宋" w:hAnsi="仿宋" w:eastAsia="仿宋" w:cs="仿宋"/>
          <w:b/>
          <w:sz w:val="28"/>
          <w:szCs w:val="28"/>
        </w:rPr>
        <w:t>五、课程设置</w:t>
      </w:r>
    </w:p>
    <w:tbl>
      <w:tblPr>
        <w:tblStyle w:val="2"/>
        <w:tblW w:w="89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3522"/>
        <w:gridCol w:w="1296"/>
        <w:gridCol w:w="1307"/>
        <w:gridCol w:w="13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476" w:type="dxa"/>
            <w:tcBorders>
              <w:top w:val="single" w:color="auto" w:sz="12" w:space="0"/>
              <w:bottom w:val="single" w:color="auto" w:sz="6"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模</w:t>
            </w:r>
            <w:r>
              <w:rPr>
                <w:rFonts w:ascii="仿宋" w:hAnsi="仿宋" w:eastAsia="仿宋" w:cs="仿宋"/>
                <w:b/>
                <w:sz w:val="24"/>
              </w:rPr>
              <w:t xml:space="preserve"> </w:t>
            </w:r>
            <w:r>
              <w:rPr>
                <w:rFonts w:hint="eastAsia" w:ascii="仿宋" w:hAnsi="仿宋" w:eastAsia="仿宋" w:cs="仿宋"/>
                <w:b/>
                <w:sz w:val="24"/>
              </w:rPr>
              <w:t>块</w:t>
            </w:r>
          </w:p>
        </w:tc>
        <w:tc>
          <w:tcPr>
            <w:tcW w:w="3522" w:type="dxa"/>
            <w:tcBorders>
              <w:top w:val="single" w:color="auto" w:sz="12" w:space="0"/>
              <w:bottom w:val="single" w:color="auto" w:sz="6" w:space="0"/>
            </w:tcBorders>
            <w:vAlign w:val="center"/>
          </w:tcPr>
          <w:p>
            <w:pPr>
              <w:snapToGrid w:val="0"/>
              <w:spacing w:line="360" w:lineRule="exact"/>
              <w:ind w:firstLine="472" w:firstLineChars="196"/>
              <w:jc w:val="center"/>
              <w:rPr>
                <w:rFonts w:hint="eastAsia" w:ascii="仿宋" w:hAnsi="仿宋" w:eastAsia="仿宋" w:cs="仿宋"/>
                <w:b/>
                <w:sz w:val="24"/>
              </w:rPr>
            </w:pPr>
            <w:r>
              <w:rPr>
                <w:rFonts w:hint="eastAsia" w:ascii="仿宋" w:hAnsi="仿宋" w:eastAsia="仿宋" w:cs="仿宋"/>
                <w:b/>
                <w:sz w:val="24"/>
              </w:rPr>
              <w:t>培训内容</w:t>
            </w:r>
          </w:p>
        </w:tc>
        <w:tc>
          <w:tcPr>
            <w:tcW w:w="1296" w:type="dxa"/>
            <w:tcBorders>
              <w:top w:val="single" w:color="auto" w:sz="12" w:space="0"/>
              <w:bottom w:val="single" w:color="auto" w:sz="6"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课时（天）</w:t>
            </w:r>
          </w:p>
        </w:tc>
        <w:tc>
          <w:tcPr>
            <w:tcW w:w="1307" w:type="dxa"/>
            <w:tcBorders>
              <w:top w:val="single" w:color="auto" w:sz="12" w:space="0"/>
              <w:bottom w:val="single" w:color="auto" w:sz="6" w:space="0"/>
              <w:right w:val="single" w:color="auto" w:sz="4"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拟聘师资</w:t>
            </w:r>
          </w:p>
        </w:tc>
        <w:tc>
          <w:tcPr>
            <w:tcW w:w="1355" w:type="dxa"/>
            <w:tcBorders>
              <w:top w:val="single" w:color="auto" w:sz="12" w:space="0"/>
              <w:left w:val="single" w:color="auto" w:sz="4" w:space="0"/>
              <w:bottom w:val="single" w:color="auto" w:sz="6"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教学方法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476" w:type="dxa"/>
            <w:vMerge w:val="restart"/>
            <w:tcBorders>
              <w:top w:val="single" w:color="auto" w:sz="6"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党的理论与党性教育</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（1天）</w:t>
            </w:r>
          </w:p>
        </w:tc>
        <w:tc>
          <w:tcPr>
            <w:tcW w:w="3522" w:type="dxa"/>
            <w:tcBorders>
              <w:top w:val="single" w:color="auto" w:sz="6" w:space="0"/>
            </w:tcBorders>
          </w:tcPr>
          <w:p>
            <w:pPr>
              <w:spacing w:line="360" w:lineRule="exact"/>
              <w:jc w:val="left"/>
              <w:rPr>
                <w:rFonts w:hint="eastAsia" w:ascii="仿宋" w:hAnsi="仿宋" w:eastAsia="仿宋"/>
                <w:sz w:val="24"/>
              </w:rPr>
            </w:pPr>
            <w:r>
              <w:rPr>
                <w:rFonts w:hint="eastAsia" w:ascii="仿宋" w:hAnsi="仿宋" w:eastAsia="仿宋"/>
                <w:sz w:val="24"/>
              </w:rPr>
              <w:t>1.党的理论与党性教育相关课程</w:t>
            </w:r>
          </w:p>
        </w:tc>
        <w:tc>
          <w:tcPr>
            <w:tcW w:w="1296" w:type="dxa"/>
            <w:tcBorders>
              <w:top w:val="single" w:color="auto" w:sz="6" w:space="0"/>
            </w:tcBorders>
            <w:vAlign w:val="center"/>
          </w:tcPr>
          <w:p>
            <w:pPr>
              <w:snapToGrid w:val="0"/>
              <w:jc w:val="center"/>
              <w:rPr>
                <w:rFonts w:hint="eastAsia" w:ascii="仿宋" w:hAnsi="仿宋" w:eastAsia="仿宋"/>
                <w:sz w:val="24"/>
              </w:rPr>
            </w:pPr>
            <w:r>
              <w:rPr>
                <w:rFonts w:hint="eastAsia" w:ascii="仿宋" w:hAnsi="仿宋" w:eastAsia="仿宋"/>
                <w:sz w:val="24"/>
              </w:rPr>
              <w:t>0.5</w:t>
            </w:r>
          </w:p>
        </w:tc>
        <w:tc>
          <w:tcPr>
            <w:tcW w:w="1307" w:type="dxa"/>
            <w:tcBorders>
              <w:top w:val="single" w:color="auto" w:sz="6" w:space="0"/>
              <w:right w:val="single" w:color="auto" w:sz="4" w:space="0"/>
            </w:tcBorders>
            <w:vAlign w:val="center"/>
          </w:tcPr>
          <w:p>
            <w:pPr>
              <w:snapToGrid w:val="0"/>
              <w:jc w:val="center"/>
              <w:rPr>
                <w:rFonts w:hint="eastAsia" w:ascii="仿宋" w:hAnsi="仿宋" w:eastAsia="仿宋"/>
                <w:sz w:val="24"/>
              </w:rPr>
            </w:pPr>
            <w:r>
              <w:rPr>
                <w:rFonts w:hint="eastAsia" w:ascii="仿宋" w:hAnsi="仿宋" w:eastAsia="仿宋" w:cs="仿宋"/>
                <w:sz w:val="24"/>
                <w:lang w:val="zh-CN"/>
              </w:rPr>
              <w:t>校内教师</w:t>
            </w:r>
          </w:p>
        </w:tc>
        <w:tc>
          <w:tcPr>
            <w:tcW w:w="1355" w:type="dxa"/>
            <w:tcBorders>
              <w:top w:val="single" w:color="auto" w:sz="6" w:space="0"/>
              <w:left w:val="single" w:color="auto" w:sz="4" w:space="0"/>
            </w:tcBorders>
            <w:vAlign w:val="center"/>
          </w:tcPr>
          <w:p>
            <w:pPr>
              <w:snapToGrid w:val="0"/>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476" w:type="dxa"/>
            <w:vMerge w:val="continue"/>
            <w:vAlign w:val="center"/>
          </w:tcPr>
          <w:p>
            <w:pPr>
              <w:snapToGrid w:val="0"/>
              <w:spacing w:line="360" w:lineRule="exact"/>
              <w:jc w:val="center"/>
              <w:rPr>
                <w:rFonts w:hint="eastAsia" w:ascii="仿宋" w:hAnsi="仿宋" w:eastAsia="仿宋" w:cs="仿宋"/>
                <w:b/>
                <w:sz w:val="24"/>
              </w:rPr>
            </w:pPr>
          </w:p>
        </w:tc>
        <w:tc>
          <w:tcPr>
            <w:tcW w:w="3522" w:type="dxa"/>
          </w:tcPr>
          <w:p>
            <w:pPr>
              <w:spacing w:line="360" w:lineRule="exact"/>
              <w:jc w:val="left"/>
              <w:rPr>
                <w:rFonts w:hint="eastAsia" w:ascii="仿宋" w:hAnsi="仿宋" w:eastAsia="仿宋"/>
                <w:sz w:val="24"/>
              </w:rPr>
            </w:pPr>
            <w:r>
              <w:rPr>
                <w:rFonts w:hint="eastAsia" w:ascii="仿宋" w:hAnsi="仿宋" w:eastAsia="仿宋"/>
                <w:sz w:val="24"/>
              </w:rPr>
              <w:t>2.主题党日活动</w:t>
            </w:r>
            <w:r>
              <w:rPr>
                <w:rFonts w:ascii="仿宋" w:hAnsi="仿宋" w:eastAsia="仿宋"/>
                <w:sz w:val="24"/>
              </w:rPr>
              <w:t xml:space="preserve"> </w:t>
            </w:r>
          </w:p>
        </w:tc>
        <w:tc>
          <w:tcPr>
            <w:tcW w:w="1296" w:type="dxa"/>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307"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355"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8" w:hRule="atLeast"/>
          <w:jc w:val="center"/>
        </w:trPr>
        <w:tc>
          <w:tcPr>
            <w:tcW w:w="1476" w:type="dxa"/>
            <w:vMerge w:val="restart"/>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核心业务</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（5天）</w:t>
            </w:r>
          </w:p>
        </w:tc>
        <w:tc>
          <w:tcPr>
            <w:tcW w:w="3522" w:type="dxa"/>
            <w:vAlign w:val="center"/>
          </w:tcPr>
          <w:p>
            <w:pPr>
              <w:spacing w:line="360" w:lineRule="exact"/>
              <w:jc w:val="left"/>
              <w:rPr>
                <w:rFonts w:hint="eastAsia" w:ascii="仿宋" w:hAnsi="仿宋" w:eastAsia="仿宋"/>
                <w:sz w:val="24"/>
              </w:rPr>
            </w:pPr>
            <w:r>
              <w:rPr>
                <w:rFonts w:hint="eastAsia" w:ascii="仿宋" w:hAnsi="仿宋" w:eastAsia="仿宋" w:cs="仿宋"/>
                <w:sz w:val="24"/>
              </w:rPr>
              <w:t>1.“常规风评”工作部署与实施</w:t>
            </w:r>
          </w:p>
        </w:tc>
        <w:tc>
          <w:tcPr>
            <w:tcW w:w="1296" w:type="dxa"/>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307"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355" w:type="dxa"/>
            <w:tcBorders>
              <w:top w:val="single" w:color="auto" w:sz="6" w:space="0"/>
              <w:bottom w:val="single" w:color="auto" w:sz="6" w:space="0"/>
              <w:right w:val="single" w:color="auto" w:sz="12"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522" w:type="dxa"/>
            <w:vAlign w:val="center"/>
          </w:tcPr>
          <w:p>
            <w:pPr>
              <w:snapToGrid w:val="0"/>
              <w:spacing w:line="360" w:lineRule="exact"/>
              <w:rPr>
                <w:rFonts w:hint="eastAsia" w:ascii="仿宋" w:hAnsi="仿宋" w:eastAsia="仿宋"/>
                <w:sz w:val="24"/>
              </w:rPr>
            </w:pPr>
            <w:r>
              <w:rPr>
                <w:rFonts w:hint="eastAsia" w:ascii="仿宋" w:hAnsi="仿宋" w:eastAsia="仿宋" w:cs="仿宋"/>
                <w:sz w:val="24"/>
              </w:rPr>
              <w:t>2.风险应对——全税种联动风险分析实战化演练</w:t>
            </w:r>
          </w:p>
        </w:tc>
        <w:tc>
          <w:tcPr>
            <w:tcW w:w="1296" w:type="dxa"/>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1</w:t>
            </w:r>
          </w:p>
        </w:tc>
        <w:tc>
          <w:tcPr>
            <w:tcW w:w="1307"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355" w:type="dxa"/>
            <w:tcBorders>
              <w:top w:val="single" w:color="auto" w:sz="6" w:space="0"/>
              <w:bottom w:val="single" w:color="auto" w:sz="6" w:space="0"/>
              <w:right w:val="single" w:color="auto" w:sz="12" w:space="0"/>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案例</w:t>
            </w:r>
          </w:p>
          <w:p>
            <w:pPr>
              <w:snapToGrid w:val="0"/>
              <w:spacing w:line="360" w:lineRule="exact"/>
              <w:jc w:val="center"/>
              <w:rPr>
                <w:rFonts w:hint="eastAsia" w:ascii="仿宋" w:hAnsi="仿宋" w:eastAsia="仿宋"/>
                <w:sz w:val="24"/>
              </w:rPr>
            </w:pPr>
            <w:r>
              <w:rPr>
                <w:rFonts w:hint="eastAsia" w:ascii="仿宋" w:hAnsi="仿宋" w:eastAsia="仿宋" w:cs="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522" w:type="dxa"/>
            <w:vAlign w:val="center"/>
          </w:tcPr>
          <w:p>
            <w:pPr>
              <w:snapToGrid w:val="0"/>
              <w:spacing w:line="360" w:lineRule="exact"/>
              <w:rPr>
                <w:rFonts w:hint="eastAsia" w:ascii="仿宋" w:hAnsi="仿宋" w:eastAsia="仿宋" w:cs="Times New Roman"/>
                <w:sz w:val="24"/>
              </w:rPr>
            </w:pPr>
            <w:r>
              <w:rPr>
                <w:rFonts w:hint="eastAsia" w:ascii="仿宋" w:hAnsi="仿宋" w:eastAsia="仿宋" w:cs="仿宋"/>
                <w:sz w:val="24"/>
              </w:rPr>
              <w:t>3.风险应对——研发费用加计扣除风险分析</w:t>
            </w:r>
          </w:p>
        </w:tc>
        <w:tc>
          <w:tcPr>
            <w:tcW w:w="1296" w:type="dxa"/>
            <w:vAlign w:val="center"/>
          </w:tcPr>
          <w:p>
            <w:pPr>
              <w:snapToGrid w:val="0"/>
              <w:spacing w:line="360" w:lineRule="exact"/>
              <w:jc w:val="center"/>
              <w:rPr>
                <w:rFonts w:hint="eastAsia" w:ascii="仿宋" w:hAnsi="仿宋" w:eastAsia="仿宋" w:cs="Times New Roman"/>
                <w:sz w:val="24"/>
              </w:rPr>
            </w:pPr>
            <w:r>
              <w:rPr>
                <w:rFonts w:hint="eastAsia" w:ascii="仿宋" w:hAnsi="仿宋" w:eastAsia="仿宋"/>
                <w:sz w:val="24"/>
              </w:rPr>
              <w:t>0.5</w:t>
            </w:r>
          </w:p>
        </w:tc>
        <w:tc>
          <w:tcPr>
            <w:tcW w:w="1307" w:type="dxa"/>
            <w:tcBorders>
              <w:right w:val="single" w:color="auto" w:sz="4" w:space="0"/>
            </w:tcBorders>
            <w:vAlign w:val="center"/>
          </w:tcPr>
          <w:p>
            <w:pPr>
              <w:snapToGrid w:val="0"/>
              <w:spacing w:line="360" w:lineRule="exact"/>
              <w:jc w:val="center"/>
              <w:rPr>
                <w:rFonts w:hint="eastAsia" w:ascii="仿宋" w:hAnsi="仿宋" w:eastAsia="仿宋" w:cs="Times New Roman"/>
                <w:sz w:val="24"/>
                <w:lang w:val="zh-CN"/>
              </w:rPr>
            </w:pPr>
            <w:r>
              <w:rPr>
                <w:rFonts w:hint="eastAsia" w:ascii="仿宋" w:hAnsi="仿宋" w:eastAsia="仿宋" w:cs="仿宋"/>
                <w:sz w:val="24"/>
                <w:lang w:val="zh-CN"/>
              </w:rPr>
              <w:t>校内教师</w:t>
            </w:r>
          </w:p>
        </w:tc>
        <w:tc>
          <w:tcPr>
            <w:tcW w:w="1355" w:type="dxa"/>
            <w:tcBorders>
              <w:top w:val="single" w:color="auto" w:sz="6" w:space="0"/>
              <w:bottom w:val="single" w:color="auto" w:sz="6" w:space="0"/>
              <w:right w:val="single" w:color="auto" w:sz="12" w:space="0"/>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522" w:type="dxa"/>
            <w:vAlign w:val="center"/>
          </w:tcPr>
          <w:p>
            <w:pPr>
              <w:snapToGrid w:val="0"/>
              <w:spacing w:line="360" w:lineRule="exact"/>
              <w:rPr>
                <w:rFonts w:hint="eastAsia" w:ascii="仿宋" w:hAnsi="仿宋" w:eastAsia="仿宋"/>
                <w:sz w:val="24"/>
              </w:rPr>
            </w:pPr>
            <w:r>
              <w:rPr>
                <w:rFonts w:hint="eastAsia" w:ascii="仿宋" w:hAnsi="仿宋" w:eastAsia="仿宋" w:cs="仿宋"/>
                <w:sz w:val="24"/>
              </w:rPr>
              <w:t>4.风险应对——供应链税收风险分析</w:t>
            </w:r>
          </w:p>
        </w:tc>
        <w:tc>
          <w:tcPr>
            <w:tcW w:w="1296" w:type="dxa"/>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307"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355" w:type="dxa"/>
            <w:tcBorders>
              <w:top w:val="single" w:color="auto" w:sz="6" w:space="0"/>
              <w:bottom w:val="single" w:color="auto" w:sz="6" w:space="0"/>
              <w:right w:val="single" w:color="auto" w:sz="12"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522" w:type="dxa"/>
            <w:vAlign w:val="center"/>
          </w:tcPr>
          <w:p>
            <w:pPr>
              <w:snapToGrid w:val="0"/>
              <w:spacing w:line="360" w:lineRule="exact"/>
              <w:rPr>
                <w:rFonts w:hint="eastAsia" w:ascii="仿宋" w:hAnsi="仿宋" w:eastAsia="仿宋"/>
                <w:sz w:val="24"/>
              </w:rPr>
            </w:pPr>
            <w:r>
              <w:rPr>
                <w:rFonts w:hint="eastAsia" w:ascii="仿宋" w:hAnsi="仿宋" w:eastAsia="仿宋" w:cs="仿宋"/>
                <w:sz w:val="24"/>
              </w:rPr>
              <w:t>5．风险应对——农产品相关行业风险分析</w:t>
            </w:r>
          </w:p>
        </w:tc>
        <w:tc>
          <w:tcPr>
            <w:tcW w:w="1296" w:type="dxa"/>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307" w:type="dxa"/>
            <w:tcBorders>
              <w:right w:val="single" w:color="auto" w:sz="4" w:space="0"/>
            </w:tcBorders>
            <w:vAlign w:val="center"/>
          </w:tcPr>
          <w:p>
            <w:pPr>
              <w:snapToGrid w:val="0"/>
              <w:spacing w:line="360" w:lineRule="exact"/>
              <w:jc w:val="center"/>
              <w:rPr>
                <w:rFonts w:hint="eastAsia" w:ascii="仿宋" w:hAnsi="仿宋" w:eastAsia="仿宋" w:cs="仿宋"/>
                <w:sz w:val="24"/>
                <w:lang w:val="zh-CN"/>
              </w:rPr>
            </w:pPr>
            <w:r>
              <w:rPr>
                <w:rFonts w:hint="eastAsia" w:ascii="仿宋" w:hAnsi="仿宋" w:eastAsia="仿宋" w:cs="仿宋"/>
                <w:sz w:val="24"/>
                <w:lang w:val="zh-CN"/>
              </w:rPr>
              <w:t>校内教师</w:t>
            </w:r>
          </w:p>
        </w:tc>
        <w:tc>
          <w:tcPr>
            <w:tcW w:w="1355" w:type="dxa"/>
            <w:tcBorders>
              <w:top w:val="single" w:color="auto" w:sz="6" w:space="0"/>
              <w:bottom w:val="single" w:color="auto" w:sz="6" w:space="0"/>
              <w:right w:val="single" w:color="auto" w:sz="12"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522" w:type="dxa"/>
            <w:vAlign w:val="center"/>
          </w:tcPr>
          <w:p>
            <w:pPr>
              <w:snapToGrid w:val="0"/>
              <w:spacing w:line="360" w:lineRule="exact"/>
              <w:rPr>
                <w:rFonts w:hint="eastAsia" w:ascii="仿宋" w:hAnsi="仿宋" w:eastAsia="仿宋"/>
                <w:sz w:val="24"/>
              </w:rPr>
            </w:pPr>
            <w:r>
              <w:rPr>
                <w:rFonts w:hint="eastAsia" w:ascii="仿宋" w:hAnsi="仿宋" w:eastAsia="仿宋"/>
                <w:sz w:val="24"/>
              </w:rPr>
              <w:t>6.风险应对——出口应征税风险分析</w:t>
            </w:r>
          </w:p>
        </w:tc>
        <w:tc>
          <w:tcPr>
            <w:tcW w:w="1296" w:type="dxa"/>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307" w:type="dxa"/>
            <w:tcBorders>
              <w:right w:val="single" w:color="auto" w:sz="4" w:space="0"/>
            </w:tcBorders>
            <w:vAlign w:val="center"/>
          </w:tcPr>
          <w:p>
            <w:pPr>
              <w:snapToGrid w:val="0"/>
              <w:spacing w:line="360" w:lineRule="exact"/>
              <w:jc w:val="center"/>
              <w:rPr>
                <w:rFonts w:hint="eastAsia" w:ascii="仿宋" w:hAnsi="仿宋" w:eastAsia="仿宋" w:cs="仿宋"/>
                <w:sz w:val="24"/>
                <w:lang w:val="zh-CN"/>
              </w:rPr>
            </w:pPr>
            <w:r>
              <w:rPr>
                <w:rFonts w:hint="eastAsia" w:ascii="仿宋" w:hAnsi="仿宋" w:eastAsia="仿宋" w:cs="仿宋"/>
                <w:sz w:val="24"/>
                <w:lang w:val="zh-CN"/>
              </w:rPr>
              <w:t>校内教师</w:t>
            </w:r>
          </w:p>
        </w:tc>
        <w:tc>
          <w:tcPr>
            <w:tcW w:w="1355" w:type="dxa"/>
            <w:tcBorders>
              <w:top w:val="single" w:color="auto" w:sz="6" w:space="0"/>
              <w:bottom w:val="single" w:color="auto" w:sz="6" w:space="0"/>
              <w:right w:val="single" w:color="auto" w:sz="12"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522" w:type="dxa"/>
            <w:vAlign w:val="center"/>
          </w:tcPr>
          <w:p>
            <w:pPr>
              <w:spacing w:line="360" w:lineRule="exact"/>
              <w:jc w:val="left"/>
              <w:rPr>
                <w:rFonts w:hint="eastAsia" w:ascii="仿宋" w:hAnsi="仿宋" w:eastAsia="仿宋"/>
                <w:sz w:val="24"/>
              </w:rPr>
            </w:pPr>
            <w:r>
              <w:rPr>
                <w:rFonts w:hint="eastAsia" w:ascii="仿宋" w:hAnsi="仿宋" w:eastAsia="仿宋" w:cs="仿宋"/>
                <w:sz w:val="24"/>
              </w:rPr>
              <w:t>7.</w:t>
            </w:r>
            <w:r>
              <w:rPr>
                <w:rFonts w:hint="eastAsia" w:ascii="仿宋" w:hAnsi="仿宋" w:eastAsia="仿宋"/>
                <w:sz w:val="24"/>
              </w:rPr>
              <w:t>风险应对——出口退（免）税政策解读及风险分析</w:t>
            </w:r>
          </w:p>
        </w:tc>
        <w:tc>
          <w:tcPr>
            <w:tcW w:w="1296" w:type="dxa"/>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307"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355" w:type="dxa"/>
            <w:tcBorders>
              <w:top w:val="single" w:color="auto" w:sz="6" w:space="0"/>
              <w:bottom w:val="single" w:color="auto" w:sz="6" w:space="0"/>
              <w:right w:val="single" w:color="auto" w:sz="12"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522" w:type="dxa"/>
            <w:vAlign w:val="center"/>
          </w:tcPr>
          <w:p>
            <w:pPr>
              <w:spacing w:line="360" w:lineRule="exact"/>
              <w:jc w:val="left"/>
              <w:rPr>
                <w:rFonts w:hint="eastAsia" w:ascii="仿宋" w:hAnsi="仿宋" w:eastAsia="仿宋"/>
                <w:sz w:val="24"/>
              </w:rPr>
            </w:pPr>
            <w:r>
              <w:rPr>
                <w:rFonts w:hint="eastAsia" w:ascii="仿宋" w:hAnsi="仿宋" w:eastAsia="仿宋" w:cs="仿宋"/>
                <w:sz w:val="24"/>
              </w:rPr>
              <w:t>8.从数电发票看“数据+规则”驱动的税务数字化</w:t>
            </w:r>
          </w:p>
        </w:tc>
        <w:tc>
          <w:tcPr>
            <w:tcW w:w="1296" w:type="dxa"/>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307"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355" w:type="dxa"/>
            <w:tcBorders>
              <w:top w:val="single" w:color="auto" w:sz="6" w:space="0"/>
              <w:bottom w:val="single" w:color="auto" w:sz="6" w:space="0"/>
              <w:right w:val="single" w:color="auto" w:sz="12"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522" w:type="dxa"/>
            <w:vAlign w:val="center"/>
          </w:tcPr>
          <w:p>
            <w:pPr>
              <w:snapToGrid w:val="0"/>
              <w:spacing w:line="360" w:lineRule="exact"/>
              <w:rPr>
                <w:rFonts w:hint="eastAsia" w:ascii="仿宋" w:hAnsi="仿宋" w:eastAsia="仿宋"/>
                <w:sz w:val="24"/>
              </w:rPr>
            </w:pPr>
            <w:r>
              <w:rPr>
                <w:rFonts w:hint="eastAsia" w:ascii="仿宋" w:hAnsi="仿宋" w:eastAsia="仿宋" w:cs="仿宋"/>
                <w:sz w:val="24"/>
              </w:rPr>
              <w:t>9.研讨交流：常规风评实施中存在的问题及应对措施</w:t>
            </w:r>
          </w:p>
        </w:tc>
        <w:tc>
          <w:tcPr>
            <w:tcW w:w="1296" w:type="dxa"/>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307"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355" w:type="dxa"/>
            <w:tcBorders>
              <w:top w:val="single" w:color="auto" w:sz="6" w:space="0"/>
              <w:bottom w:val="single" w:color="auto" w:sz="6" w:space="0"/>
              <w:right w:val="single" w:color="auto" w:sz="12"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7" w:hRule="atLeast"/>
          <w:jc w:val="center"/>
        </w:trPr>
        <w:tc>
          <w:tcPr>
            <w:tcW w:w="1476" w:type="dxa"/>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非课程环节（2天）</w:t>
            </w:r>
          </w:p>
        </w:tc>
        <w:tc>
          <w:tcPr>
            <w:tcW w:w="3522" w:type="dxa"/>
            <w:vAlign w:val="center"/>
          </w:tcPr>
          <w:p>
            <w:pPr>
              <w:snapToGrid w:val="0"/>
              <w:spacing w:line="360" w:lineRule="exact"/>
              <w:rPr>
                <w:rFonts w:hint="eastAsia" w:ascii="仿宋" w:hAnsi="仿宋" w:eastAsia="仿宋"/>
                <w:sz w:val="24"/>
              </w:rPr>
            </w:pPr>
            <w:r>
              <w:rPr>
                <w:rFonts w:hint="eastAsia" w:ascii="仿宋" w:hAnsi="仿宋" w:eastAsia="仿宋"/>
                <w:sz w:val="24"/>
              </w:rPr>
              <w:t>1.报到、返程</w:t>
            </w:r>
          </w:p>
        </w:tc>
        <w:tc>
          <w:tcPr>
            <w:tcW w:w="1296" w:type="dxa"/>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2</w:t>
            </w:r>
          </w:p>
        </w:tc>
        <w:tc>
          <w:tcPr>
            <w:tcW w:w="1307"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总务处</w:t>
            </w:r>
          </w:p>
        </w:tc>
        <w:tc>
          <w:tcPr>
            <w:tcW w:w="1355" w:type="dxa"/>
          </w:tcPr>
          <w:p>
            <w:pPr>
              <w:spacing w:line="360" w:lineRule="exact"/>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998" w:type="dxa"/>
            <w:gridSpan w:val="2"/>
            <w:tcBorders>
              <w:bottom w:val="single" w:color="auto" w:sz="12" w:space="0"/>
            </w:tcBorders>
          </w:tcPr>
          <w:p>
            <w:pPr>
              <w:snapToGrid w:val="0"/>
              <w:spacing w:line="360" w:lineRule="exact"/>
              <w:jc w:val="center"/>
              <w:rPr>
                <w:rFonts w:hint="eastAsia" w:ascii="仿宋" w:hAnsi="仿宋" w:eastAsia="仿宋" w:cs="仿宋"/>
                <w:sz w:val="24"/>
              </w:rPr>
            </w:pPr>
            <w:r>
              <w:rPr>
                <w:rFonts w:hint="eastAsia" w:ascii="仿宋" w:hAnsi="仿宋" w:eastAsia="仿宋" w:cs="仿宋"/>
                <w:b/>
                <w:bCs/>
                <w:sz w:val="24"/>
              </w:rPr>
              <w:t>合计</w:t>
            </w:r>
          </w:p>
        </w:tc>
        <w:tc>
          <w:tcPr>
            <w:tcW w:w="3958" w:type="dxa"/>
            <w:gridSpan w:val="3"/>
            <w:tcBorders>
              <w:bottom w:val="single" w:color="auto" w:sz="12" w:space="0"/>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8</w:t>
            </w:r>
          </w:p>
        </w:tc>
      </w:tr>
    </w:tbl>
    <w:p>
      <w:pPr>
        <w:snapToGrid w:val="0"/>
        <w:spacing w:line="360" w:lineRule="auto"/>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567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2025-01-06T07:30:21Z</dcterms:created>
  <dc:creator>Administrator</dc:creator>
  <cp:lastModifiedBy>Administrator</cp:lastModifiedBy>
  <dcterms:modified xsi:type="dcterms:W3CDTF">2025-01-06T07:30:34Z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